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5bc179511777a2ce3d22d8c7206c369742d70"/>
    <w:p>
      <w:pPr>
        <w:pStyle w:val="Heading3"/>
      </w:pPr>
      <w:r>
        <w:t xml:space="preserve">В 2020 году столица нарастила объемы промышленного строительства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По итогам 2020 года Москва нарастила объемы промышленного строительства - в два раза по сравнению с прошлым годом.</w:t>
      </w:r>
    </w:p>
    <w:p>
      <w:pPr>
        <w:pStyle w:val="BodyText"/>
      </w:pPr>
      <w:r>
        <w:t xml:space="preserve">В столице реализуют не только программу реновации и возводят различные социально значимые объекты, но и расширяют производство, в том числе высокотехнологичное. Это позволят создать рабочие места и повысить привлекательность района. Как отметил заместитель мэра по вопросам градостроительной политики и строительства Андрей Бочкарев, в 2019 году Градостроительно-земельной комиссией были одобрены разрешения на строительство 3,09 млн квадратных метров промышленных объектов, а в 2020-м – уже 6,4 млн кв. м.</w:t>
      </w:r>
    </w:p>
    <w:p>
      <w:pPr>
        <w:pStyle w:val="BodyText"/>
      </w:pPr>
      <w:r>
        <w:t xml:space="preserve">Существенного роста удалось достичь за счет принятого правительством постановления. У инвесторов появилась возможность существенно снизить плату за вид разрешенного использования земельного участка, планируемого к застройке жилыми объектами, и повысить инвестиционную привлекательность района.</w:t>
      </w:r>
    </w:p>
    <w:p>
      <w:pPr>
        <w:pStyle w:val="BodyText"/>
      </w:pPr>
      <w:r>
        <w:t xml:space="preserve">Также в строительство вкладываются иностранные компании. По итогам прошлого года столица впервые с 2014 года снова вошла в топ самых привлекательных для инвесторов городов.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http://fili-davydkovo.mos.ru/presscenter/news/detail/9983568.html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3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83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2024-11-18T16:48:55Z</dcterms:created>
  <dcterms:modified xsi:type="dcterms:W3CDTF">2024-11-18T16:48:55Z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