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6fb357f07ca06d90cbba95a579cd6abf11efe"/>
    <w:p>
      <w:pPr>
        <w:pStyle w:val="Heading3"/>
      </w:pPr>
      <w:r>
        <w:t xml:space="preserve">В Москве в 2021 году планируют построить около 1,5 млн кв.м. жилья по программе реновации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  <w:r>
        <w:t xml:space="preserve">В столице в 2021 году построят 1,5 млн кв.м. жилья по программе реновации.</w:t>
      </w:r>
    </w:p>
    <w:p>
      <w:pPr>
        <w:pStyle w:val="BodyText"/>
      </w:pPr>
      <w:r>
        <w:t xml:space="preserve">Под заселение будет передан 1 млн кв м жилья, что поможет обеспечить начало переселения 30 тысяч москвичей. Продолжится и подбор стартовых площадок.</w:t>
      </w:r>
    </w:p>
    <w:p>
      <w:pPr>
        <w:pStyle w:val="BodyText"/>
      </w:pPr>
      <w:r>
        <w:t xml:space="preserve">«На сегодняшний день у нас подобрано 500 стартовых площадок площадью 7,9 миллиона квадратных метров во всех административных округах Москвы», — сообщил заммэра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http://fili-davydkovo.mos.ru/presscenter/news/detail/9961273.html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61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61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2025-03-15T18:34:14Z</dcterms:created>
  <dcterms:modified xsi:type="dcterms:W3CDTF">2025-03-15T18:34:14Z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