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976043ae5b16add71dd0237bdd0b902f81ef8"/>
    <w:p>
      <w:pPr>
        <w:pStyle w:val="Heading3"/>
      </w:pPr>
      <w:r>
        <w:t xml:space="preserve">В рамках программы «Индустриальные кварталы» в Москве будут застраивать бывшие промзоны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В рамках программы «Индустриальные кварталы» в Москве будут застраивать территории бывших промышленных зон. Там появятся не только производства, но и жилые дома, комфортная социальная инфраструктура. На первом месте будет находиться комфорт человека, а на втором - промышленное развитие.</w:t>
      </w:r>
    </w:p>
    <w:p>
      <w:pPr>
        <w:pStyle w:val="BodyText"/>
      </w:pPr>
      <w:r>
        <w:t xml:space="preserve">В прошлом году были подписаны первые два договора о комплексном развитии территорий. Речь идет о преобразовании промзоны Октябрьское Поле и реорганизации промзоны Коровино. Принято решение создать еще четыре индустриальных квартала - Братцево, Чертаново, Южное Бутово и Алтуфьевское Шоссе. В целом же в Москве разрабатывают более 120 проектов по комплексному развитию участков.</w:t>
      </w:r>
    </w:p>
    <w:p>
      <w:pPr>
        <w:pStyle w:val="BodyText"/>
      </w:pPr>
      <w:r>
        <w:t xml:space="preserve">«На сегодняшний момент эти территории представляют из себя полузаброшенные объекты. В общей сложности реализация проекта «Индустриальные кварталы» позволит городу получить около 500 тыс. рабочих мест и почти три триллиона поступлений в бюджет, а общий объем инвестиций в реализацию проектов составит более 7 трлн рублей», - отметил заместитель мэра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По его словам, под современные экологичные производственные объекты будет использовано 11 миллионов квадратных метров, под общественно-деловую и социальную застройку — 13 миллионов квадратных метров, под возведение жилых многоквартирных домов - около 11 миллионов квадратных метров.</w:t>
      </w:r>
    </w:p>
    <w:p>
      <w:pPr>
        <w:pStyle w:val="BodyText"/>
      </w:pPr>
      <w:r>
        <w:t xml:space="preserve">Власти Москвы четко устанавливают, что должно быть возведено в промышленном квартале. С привлечением средств частных инвесторов планируется построить не менее 90 объектов образования: появится не менее 40 новых средних общеобразовательных школ, а также не менее 50 детсадов. Планируется построить 27 физкультурно-оздоровительных комплексов, включая один аквапарк.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http://fili-davydkovo.mos.ru/presscenter/news/detail/9876933.html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7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7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2024-09-26T08:22:30Z</dcterms:created>
  <dcterms:modified xsi:type="dcterms:W3CDTF">2024-09-26T08:22:30Z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