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d828e77cc7fd2294ad551b43a87e3448dce0"/>
    <w:p>
      <w:pPr>
        <w:pStyle w:val="Heading3"/>
      </w:pPr>
      <w:r>
        <w:t xml:space="preserve">С 20 октября 2015 года в городе Москве начинаются отправки граждан на военную службу в весенней призывной кампании.</w:t>
      </w:r>
    </w:p>
    <w:p>
      <w:pPr>
        <w:pStyle w:val="FirstParagraph"/>
      </w:pPr>
      <w:r>
        <w:t xml:space="preserve">06.04.2015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Отправка граждан - москвичей, призванных на военную службу, будет производится со сборного пункта города Москвы согласно плану отправок.</w:t>
            </w:r>
          </w:p>
          <w:p>
            <w:pPr>
              <w:jc w:val="left"/>
            </w:pPr>
            <w:r>
              <w:t xml:space="preserve">В соответствии с Постановлением Правительства Российской Федерации от 2006 года</w:t>
            </w:r>
            <w:r>
              <w:t xml:space="preserve"> </w:t>
            </w:r>
            <w:r>
              <w:rPr>
                <w:iCs/>
                <w:i/>
              </w:rPr>
              <w:t xml:space="preserve">№</w:t>
            </w:r>
            <w:r>
              <w:t xml:space="preserve"> </w:t>
            </w:r>
            <w:r>
              <w:t xml:space="preserve">663 на сборном пункте при содействии органов исполнительной власти и представителей местной администрации организуется и проводится воспитательная и культурно-массовая работа с призывниками, которая носит</w:t>
            </w:r>
          </w:p>
        </w:tc>
      </w:tr>
    </w:tbl>
    <w:p>
      <w:pPr>
        <w:pStyle w:val="BodyText"/>
      </w:pPr>
      <w:r>
        <w:t xml:space="preserve">не только массовый характер, но и индивидуальную направленность.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http://fili-davydkovo.mos.ru/presscenter/news/detail/1719289.html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9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9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2025-08-05T15:19:42Z</dcterms:created>
  <dcterms:modified xsi:type="dcterms:W3CDTF">2025-08-05T15:19:42Z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