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3157bc01981253b84e374407a6e5f708742d2"/>
    <w:p>
      <w:pPr>
        <w:pStyle w:val="Heading3"/>
      </w:pPr>
      <w:r>
        <w:t xml:space="preserve">МосгорБТИ поможет согласовать перепланировку фасада здания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iCs/>
          <w:i/>
        </w:rPr>
        <w:t xml:space="preserve">ГБУ МосгорБТИ начало принимать заказы на разработку проектов и технических заключений для согласования изменений, затрагивающих фасады нежилых зданий.</w:t>
      </w:r>
    </w:p>
    <w:p>
      <w:pPr>
        <w:pStyle w:val="BodyText"/>
      </w:pPr>
      <w:r>
        <w:t xml:space="preserve">В Москве 1 августа вступило в силу Положение об изменении внешнего архитектурного решения нежилых зданий, строений, сооружений. Этот документ устанавливает порядок согласования изменений, затрагивающих внешние поверхности нежилых зданий.</w:t>
      </w:r>
    </w:p>
    <w:p>
      <w:pPr>
        <w:pStyle w:val="BodyText"/>
      </w:pPr>
      <w:r>
        <w:t xml:space="preserve">«Долгое время процедура согласования изменений фасадов зданий в столице не регулировалась, что порождало трудности для собственников, – они не могли узаконить ремонт и реконструкцию, которые выполнили или получили вместе с недвижимостью от предыдущего владельца. Создание и заложение дверей и окон, изменение входных групп, тамбуров и витрин оставались вне закона. Теперь в Москве появился соответствующий регламент, а заказать разработку проекта и технических заключений и получить помощь в подаче заявлений можно в МосгорБТИ», - рассказал министр правительства Москвы, руководитель Департамента городского имущества, входящего в Комплекс экономической политики и имущественно-земельных отношений столицы, Максим Гаман.</w:t>
      </w:r>
    </w:p>
    <w:p>
      <w:pPr>
        <w:pStyle w:val="BodyText"/>
      </w:pPr>
      <w:r>
        <w:t xml:space="preserve">Контроль за соблюдением процедуры и полномочия по согласованию проектов и выдаче заключений о выполненных работах возложены на Москомархитектуру. Подача заявки на получение соответствующей государственной услуги осуществляется исключительно в электронном виде.</w:t>
      </w:r>
    </w:p>
    <w:p>
      <w:pPr>
        <w:pStyle w:val="BodyText"/>
      </w:pPr>
      <w:r>
        <w:t xml:space="preserve">«Наши специалисты подготовят необходимый проект или техническое заключение, также готовы сопровождать клиента в процессе электронной подачи заявления. В полном пакете документов потребуются и материалы технического учета, выполненные на основании инвентаризационного обследования – поэтажный план и выписка из технического паспорта здания. Все это тоже можно заказать в бюро», - пояснил генеральный директор ГБУ МосгорБТИ Александр Кинев.</w:t>
      </w:r>
    </w:p>
    <w:p>
      <w:pPr>
        <w:pStyle w:val="BodyText"/>
      </w:pPr>
      <w:r>
        <w:t xml:space="preserve">Стоимость и сроки подготовки документов рассчитываются по сборникам, утвержденным приказом Москомэкспертизы. Подробнее узнать о новой услуге можно в соответствующем разделе сайта ГБУ МосгорБТИ или в контакт-центре по номеру: +7 495 629-02-80.</w:t>
      </w:r>
    </w:p>
    <w:p>
      <w:pPr>
        <w:pStyle w:val="BodyText"/>
      </w:pPr>
      <w:r>
        <w:t xml:space="preserve">Действие нового Положения распространяется на объекты, расположенные в пределах Садового кольца, а также на некоторые улицы и магистрали города. Новая процедура актуальна для административно-деловых, учебно-образовательных, культурно-просветительных, торгово-бытовых и других типов зданий. Все иные объекты при согласовании изменений проходят стандартную процедуру, описанную в постановлении Правительства Москвы № 432-ПП «О перечне случаев, при которых получение разрешения на строительство не требуется»</w:t>
      </w:r>
    </w:p>
    <w:p>
      <w:pPr>
        <w:pStyle w:val="BodyText"/>
      </w:pPr>
      <w:r>
        <w:t xml:space="preserve">Фасады объектов, архитектурное решение которых было изменено до вступления в силу новых правил, должны быть узаконены силами собственников и пользователей до 1 октября 2023 года, если они расположены в пределах Садового кольца, и до 1 января 2026 года для всех остальных объектов, указанных в постановлении.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http://fili-davydkovo.mos.ru/presscenter/news/detail/11022352.html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022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1022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2024-09-26T08:13:02Z</dcterms:created>
  <dcterms:modified xsi:type="dcterms:W3CDTF">2024-09-26T08:13:02Z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