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2a45ff290e8865dbd253a459701c7beec1c3"/>
    <w:p>
      <w:pPr>
        <w:pStyle w:val="Heading3"/>
      </w:pPr>
      <w:r>
        <w:t xml:space="preserve">Проверки соблюдения законодательства о противодействии терроризму гостиничными предприятиями</w:t>
      </w:r>
    </w:p>
    <w:p>
      <w:pPr>
        <w:pStyle w:val="FirstParagraph"/>
      </w:pPr>
      <w:r>
        <w:t xml:space="preserve">28.05.2014</w:t>
      </w:r>
    </w:p>
    <w:p>
      <w:pPr>
        <w:pStyle w:val="BodyText"/>
      </w:pPr>
      <w:r>
        <w:t xml:space="preserve">В целях профилактики противодействия терроризму прокуратурой округа в марте - апреле 2014 года проведены проверки соблюдения законодательства о противодействии терроризму гостиничными предприятиями, расположенными на поднадзорной территории.</w:t>
      </w:r>
    </w:p>
    <w:p>
      <w:pPr>
        <w:pStyle w:val="BodyText"/>
      </w:pPr>
      <w:r>
        <w:t xml:space="preserve">В настоящее время безопасность Москвы как места проживания миллионов людей и концентрации жизненно и потенциально опасных объектов не является достаточной.</w:t>
      </w:r>
    </w:p>
    <w:p>
      <w:pPr>
        <w:pStyle w:val="BodyText"/>
      </w:pPr>
      <w:r>
        <w:t xml:space="preserve">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 - правовой базы, а также в формировании правовой культуры населения.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>
      <w:pPr>
        <w:pStyle w:val="BodyText"/>
      </w:pPr>
      <w:r>
        <w:t xml:space="preserve">Руководителям гостиничных предприятий вне зависимости от формы собственности и организационно-правовой формы необходимо обеспечить в соответствии с утвержденной инструкцией разработку и введение паспорта антитеррористической защищенности и техногенной безопасности.</w:t>
      </w:r>
    </w:p>
    <w:p>
      <w:pPr>
        <w:pStyle w:val="BodyText"/>
      </w:pPr>
      <w:r>
        <w:t xml:space="preserve">Паспорт утверждается руководителем и согласовывается с Управлением административного округа ГУ МЧС России по г. Москве, Отделом административного округа УФСБ РФ по г. Москве и Московской области, Управлением внутренних дел административного округа г. Москвы и Агентством по обеспечению мероприятий гражданской защиты в административном округе г. Москвы.</w:t>
      </w:r>
    </w:p>
    <w:p>
      <w:pPr>
        <w:pStyle w:val="BodyText"/>
      </w:pPr>
      <w:r>
        <w:t xml:space="preserve">Вместе с тем, в ходе проверок установлено, что в семи гостиничных предприятиях, расположенных на территории Западного административного округа паспорт антитеррористической защищенности и техногенной безопасности разработан с нарушениями закона, либо не разработан (не актуализирован).</w:t>
      </w:r>
    </w:p>
    <w:p>
      <w:pPr>
        <w:pStyle w:val="BodyText"/>
      </w:pPr>
      <w:r>
        <w:t xml:space="preserve">В соответствии со ст. 2 Федерального закона от 06.03.2006 г. № 35-Ф3 «О противодействии терроризму» основными принципами противодействия террористической деятельности являются, в том числе приоритет мер предупреждения терроризма.</w:t>
      </w:r>
    </w:p>
    <w:p>
      <w:pPr>
        <w:pStyle w:val="BodyText"/>
      </w:pPr>
      <w:r>
        <w:t xml:space="preserve">Таким образом, в гостиничных предприятиях отсутствует комплекс организационных и практических мероприятий, направленных на террористическую защищенность и предупреждение чрезвычайных ситуаций что может повлечь за собой угрозу безопасности деятельности гостиничного предприятия, а также свидетельствует об отсутствии должной защищенности данности гостиничного предприятия от акта незаконного вмешательства в том числе террористического.</w:t>
      </w:r>
    </w:p>
    <w:p>
      <w:pPr>
        <w:pStyle w:val="BodyText"/>
      </w:pPr>
      <w:r>
        <w:t xml:space="preserve">На основании изложенного прокуратурой западного округа в адрес руководства организаций внесено 7 представлений об устранении допущенных нарушений законодательства, подготовлено и направлено в суд 6 исковых заявлений об обязании разработать и утвердить паспорт антитеррористической защищенности и техногенной безопасности, вынесены 3 постановления о возбуждении дел об административном правонарушении по ч. 1 ст. 20.6 КоАП РФ.</w:t>
      </w:r>
    </w:p>
    <w:p>
      <w:pPr>
        <w:pStyle w:val="BodyText"/>
      </w:pPr>
      <w:r>
        <w:t xml:space="preserve">В настоящее время нарушения устранены, за допущенные нарушения законодательства о противодействии терроризму 8 лиц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http://fili-davydkovo.mos.ru/presscenter/news/detail/1060343.html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60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60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2024-09-26T08:19:38Z</dcterms:created>
  <dcterms:modified xsi:type="dcterms:W3CDTF">2024-09-26T08:19:38Z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