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учета-численности-грызунов"/>
    <w:p>
      <w:pPr>
        <w:pStyle w:val="Heading3"/>
      </w:pPr>
      <w:r>
        <w:t xml:space="preserve">О проведении учета численности грызунов</w:t>
      </w:r>
    </w:p>
    <w:p>
      <w:pPr>
        <w:pStyle w:val="FirstParagraph"/>
      </w:pPr>
      <w:r>
        <w:t xml:space="preserve">18.04.2014</w:t>
      </w:r>
    </w:p>
    <w:p>
      <w:pPr>
        <w:pStyle w:val="BodyText"/>
      </w:pPr>
      <w:r>
        <w:t xml:space="preserve">ТО Управления Роспотребнадзора по г.Москве в ЗАО г.Москвы в соответствии с письмом Управления Роспотребнадзора по г.Москве №18-55/01-00079-18 от 07.02.2014г. «О проведении учета численности грызунов» информирует Вас, что активные проявления природных очагов на территории Российской Федерации отражаются на состоянии заболеваемости москвичей природно-очаговыми инфекциями. За последнее пятилетие в Москве было зарегистрировано Солее 900 как местных, так и завозных случаев заболеваний природно-очаговыми инфекциями, источниками инфицирования которыми для человека явились грызуны в том числе: геморрагическая лихорадка с почечным синдромом - 594 случая, лептоспирозы - 122, туляремия – 30, псевдотуберкулез - 51 случай. Бюджету города инфекционная заболеваемость ежегодно наносит экономические потери порядка 30 млрд. рублей.</w:t>
      </w:r>
    </w:p>
    <w:p>
      <w:pPr>
        <w:pStyle w:val="BodyText"/>
      </w:pPr>
      <w:r>
        <w:t xml:space="preserve">По Западному округу г. Москвы в 2013г. зарегистрировано: лептоспироза -3 случая среди взрослых, листериоза -2 случая (женщина и её новорожденный ребёнок), геморрагической лихорадки с почечным синдромом - 8 случаев среди взрослых.</w:t>
      </w:r>
    </w:p>
    <w:p>
      <w:pPr>
        <w:pStyle w:val="BodyText"/>
      </w:pPr>
      <w:r>
        <w:t xml:space="preserve">Заражение москвичей бешенством, ГЛПС, лептоспирозами, лисгериозом, псевдотуберкулезом, туляремией в основном происходило во время пребывания на эндемичных территориях Российской Федерации. Основными причинами заражения являлись употребление не кипяченой колодезной или родниковой воды, контакт с больными животными и объектами внешней  среды, контаминированными выделениями грызунов.</w:t>
      </w:r>
    </w:p>
    <w:p>
      <w:pPr>
        <w:pStyle w:val="BodyText"/>
      </w:pPr>
      <w:r>
        <w:t xml:space="preserve">Участились жалобы жителей ЗАО на наличие грызунов в домовладениях и низкое качество или отсутствие проведения дератизационных мероприятий. Участились случаи нападения грызунов па людей. За 2013год от укусов синантропных (домовых) грызунов пострадало 14 жителей ЗАО.</w:t>
      </w:r>
    </w:p>
    <w:p>
      <w:pPr>
        <w:pStyle w:val="BodyText"/>
      </w:pPr>
      <w:r>
        <w:t xml:space="preserve">В городе постоянно осуществляется эпизоотолого-эпидемиологический мониторинг за состоянием популяций грызунов и членистоногих на открытых территориях и в помещениях на различных объектах.</w:t>
      </w:r>
    </w:p>
    <w:p>
      <w:pPr>
        <w:pStyle w:val="BodyText"/>
      </w:pPr>
      <w:r>
        <w:t xml:space="preserve">Так как учет численности грызунов ведется только на тех объектах, на которых осуществляется дератизация (в Москве практически не проводится на прилегающей к жилым домам территории, территории гаражей и автостоянок, подземных коммуникаций, строительных площадок и прочих территориях), то можно предположить, что реально численность грызунов в городе значительно выше.</w:t>
      </w:r>
    </w:p>
    <w:p>
      <w:pPr>
        <w:pStyle w:val="BodyText"/>
      </w:pPr>
      <w:r>
        <w:t xml:space="preserve">Анализ материалов эпизоотологических наблюдений показал, что на территории Москвы во всех административных округах, сформировались и проявляют активность сочетанные природные очаги, при исследовании которых и отлове из них грызунов ежегодно выявляются положительные результаты исследований на наличие природно очаговых инфекций.</w:t>
      </w:r>
    </w:p>
    <w:p>
      <w:pPr>
        <w:pStyle w:val="BodyText"/>
      </w:pPr>
      <w:r>
        <w:t xml:space="preserve">В 2013 году положительные результаты исследований по Западному административному округу выявлены ТК « Гесплей» (ул. Матвеевская, д.1) - 4 крысы, больные лептоспирозом.</w:t>
      </w:r>
    </w:p>
    <w:p>
      <w:pPr>
        <w:pStyle w:val="BodyText"/>
      </w:pPr>
      <w:r>
        <w:t xml:space="preserve">По всем выявленным положительным результатам в очаге были организованы и проведены необходимые профилактические и противоэпидемические мероприятия.</w:t>
      </w:r>
    </w:p>
    <w:p>
      <w:pPr>
        <w:pStyle w:val="BodyText"/>
      </w:pPr>
      <w:r>
        <w:t xml:space="preserve">Большинство коммерческих организаций, осуществляющих дератизацию, в нарушение требований действующих документов не участвует в общегородских учетах численности грызунов и их доставке для лабораторного исследования, что не позволяет составить достоверную картину состояния эпизоотической обстановки на территории города. Данные виды работ осуществляются в основном ГУП МГЦД.</w:t>
      </w:r>
    </w:p>
    <w:p>
      <w:pPr>
        <w:pStyle w:val="BodyText"/>
      </w:pPr>
      <w:r>
        <w:t xml:space="preserve">В 2014 году планируется проведение общегородских учетов численности грызунов в установленные сроки.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t xml:space="preserve">Сроки проведении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Количественный учет численности грызунов в помещениях объектов (КУГ)</w:t>
            </w:r>
          </w:p>
        </w:tc>
        <w:tc>
          <w:tcPr/>
          <w:p>
            <w:pPr>
              <w:jc w:val="left"/>
            </w:pPr>
            <w:r>
              <w:t xml:space="preserve">14-16 апреля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Весенний учет численности грызунов в открытых стациях *</w:t>
            </w:r>
          </w:p>
        </w:tc>
        <w:tc>
          <w:tcPr/>
          <w:p>
            <w:pPr>
              <w:jc w:val="left"/>
            </w:pPr>
            <w:r>
              <w:t xml:space="preserve">12 -14 мая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Осенний учет численности грызунов в открытых стациях*</w:t>
            </w:r>
          </w:p>
        </w:tc>
        <w:tc>
          <w:tcPr/>
          <w:p>
            <w:pPr>
              <w:jc w:val="left"/>
            </w:pPr>
            <w:r>
              <w:t xml:space="preserve">22-24 сентября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Количественный учет численности грызунов в помещениях объектов (КУГ)</w:t>
            </w:r>
          </w:p>
        </w:tc>
        <w:tc>
          <w:tcPr/>
          <w:p>
            <w:pPr>
              <w:jc w:val="left"/>
            </w:pPr>
            <w:r>
              <w:t xml:space="preserve">20-22 октября</w:t>
            </w:r>
          </w:p>
        </w:tc>
      </w:tr>
    </w:tbl>
    <w:p>
      <w:pPr>
        <w:pStyle w:val="BodyText"/>
      </w:pPr>
      <w:r>
        <w:t xml:space="preserve">* сроки могут быть сдвинуты в зависимости от погоды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http://fili-davydkovo.mos.ru/presscenter/news/detail/1008936.html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8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8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2024-09-26T08:20:25Z</dcterms:created>
  <dcterms:modified xsi:type="dcterms:W3CDTF">2024-09-26T08:20:25Z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