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c2e1e30d0e567eeb9462f6985e2917e0c95b"/>
    <w:p>
      <w:pPr>
        <w:pStyle w:val="Heading3"/>
      </w:pPr>
      <w:r>
        <w:t xml:space="preserve">Гендиректор Московского фонда защиты прав дольщиков рассказал о деталях передачи проблемного ЖК «Квартал Триумфальный»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t xml:space="preserve">Генеральный директор Московского фонда защиты прав дольщиков Александр Гончаров рассказал о деталях передачи проблемного ЖК «Квартал Триумфальный».</w:t>
      </w:r>
    </w:p>
    <w:p>
      <w:pPr>
        <w:pStyle w:val="BodyText"/>
      </w:pPr>
      <w:r>
        <w:t xml:space="preserve">По его словам, нужно оценить стоимость завершения строительства, стоимость самих объектов и реестр требований участников строительства. Затем состоится заседание совета Московского фонда, после чего он подаст в Арбитражный суд и Минстрой РФ заявления о передаче ему проблемного жилого комплекса. Об этом сообщает Стройкомплекс.</w:t>
      </w:r>
    </w:p>
    <w:p>
      <w:pPr>
        <w:pStyle w:val="BodyText"/>
      </w:pPr>
      <w:r>
        <w:t xml:space="preserve">Помимо ЖК «Квартал Триумфальный», фонд будет достраивать «Нескучный Home and SPA». Всего же фонду переданы семь объектов: ЖК «Академ Палас», ЖК «Легенда», ЖК «Воскресенское», ЖК «Троицк Е-39», ЖК «Остров Эрин», ЖК «Малыгина, 12», дом в поселении Кокошкино.</w:t>
      </w:r>
    </w:p>
    <w:p>
      <w:pPr>
        <w:pStyle w:val="BodyText"/>
      </w:pPr>
      <w:r>
        <w:t xml:space="preserve">Напомним, проблемный жилой комплекс «Квартал Триумфальный» в Фили-Давыдкове расположен в 1 и 2 кварталах, корп. 18-18А.</w:t>
      </w:r>
    </w:p>
    <w:p>
      <w:pPr>
        <w:pStyle w:val="BodyText"/>
      </w:pPr>
      <w:r>
        <w:t xml:space="preserve">Ранее инвестпроектом подразумевалось комплексно реконструировать жилые кварталы 1 и 2. На земельном участке на ул. Кременчугской планировалось построить жилье общей площадью 400 тыс. кв. метров, а также объекты социально-бытового назначения.</w:t>
      </w:r>
    </w:p>
    <w:p>
      <w:pPr>
        <w:pStyle w:val="BodyText"/>
      </w:pPr>
      <w:r>
        <w:t xml:space="preserve">Однако из-за разногласий инвесторов стройка встала, а в 2017 году компания «Аванта», привлекавшая средства дольщиков, обанкротилась. Застройщик ЗАО «ФЦСР» принял на себя обязательства ООО «Аванта» и заключил с некоторыми гражданами договоры участия в долевом строительстве, однако тоже обанкротился.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http://fili-davydkovo.mos.ru/presscenter/news/detail/10064654.html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6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6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2024-09-26T11:07:18Z</dcterms:created>
  <dcterms:modified xsi:type="dcterms:W3CDTF">2024-09-26T11:07:18Z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